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135"/>
        </w:tabs>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tabs>
          <w:tab w:val="left" w:leader="none" w:pos="0"/>
          <w:tab w:val="left" w:leader="none" w:pos="1701"/>
          <w:tab w:val="left" w:leader="none" w:pos="2127"/>
        </w:tabs>
        <w:ind w:left="0" w:firstLine="0"/>
        <w:jc w:val="center"/>
        <w:rPr>
          <w:rFonts w:ascii="Arial" w:cs="Arial" w:eastAsia="Arial" w:hAnsi="Arial"/>
          <w:b w:val="1"/>
        </w:rPr>
      </w:pPr>
      <w:r w:rsidDel="00000000" w:rsidR="00000000" w:rsidRPr="00000000">
        <w:rPr>
          <w:rFonts w:ascii="Arial" w:cs="Arial" w:eastAsia="Arial" w:hAnsi="Arial"/>
          <w:b w:val="1"/>
          <w:rtl w:val="0"/>
        </w:rPr>
        <w:t xml:space="preserve">COMUNICACIÓN INTERNA</w:t>
      </w:r>
    </w:p>
    <w:p w:rsidR="00000000" w:rsidDel="00000000" w:rsidP="00000000" w:rsidRDefault="00000000" w:rsidRPr="00000000" w14:paraId="00000003">
      <w:pPr>
        <w:tabs>
          <w:tab w:val="left" w:leader="none" w:pos="0"/>
          <w:tab w:val="left" w:leader="none" w:pos="1701"/>
          <w:tab w:val="left" w:leader="none" w:pos="2127"/>
        </w:tabs>
        <w:ind w:left="0" w:firstLine="0"/>
        <w:rPr>
          <w:rFonts w:ascii="Arial" w:cs="Arial" w:eastAsia="Arial" w:hAnsi="Arial"/>
        </w:rPr>
      </w:pPr>
      <w:r w:rsidDel="00000000" w:rsidR="00000000" w:rsidRPr="00000000">
        <w:rPr>
          <w:rtl w:val="0"/>
        </w:rPr>
      </w:r>
    </w:p>
    <w:p w:rsidR="00000000" w:rsidDel="00000000" w:rsidP="00000000" w:rsidRDefault="00000000" w:rsidRPr="00000000" w14:paraId="00000004">
      <w:pPr>
        <w:tabs>
          <w:tab w:val="left" w:leader="none" w:pos="0"/>
          <w:tab w:val="left" w:leader="none" w:pos="1701"/>
          <w:tab w:val="left" w:leader="none" w:pos="2127"/>
        </w:tabs>
        <w:ind w:left="0" w:firstLine="0"/>
        <w:rPr/>
      </w:pPr>
      <w:r w:rsidDel="00000000" w:rsidR="00000000" w:rsidRPr="00000000">
        <w:rPr>
          <w:rFonts w:ascii="Arial" w:cs="Arial" w:eastAsia="Arial" w:hAnsi="Arial"/>
          <w:rtl w:val="0"/>
        </w:rPr>
        <w:t xml:space="preserve">Bogotá D.C., F_RAD_E</w:t>
      </w:r>
      <w:r w:rsidDel="00000000" w:rsidR="00000000" w:rsidRPr="00000000">
        <w:rPr>
          <w:rtl w:val="0"/>
        </w:rPr>
      </w:r>
    </w:p>
    <w:p w:rsidR="00000000" w:rsidDel="00000000" w:rsidP="00000000" w:rsidRDefault="00000000" w:rsidRPr="00000000" w14:paraId="00000005">
      <w:pPr>
        <w:tabs>
          <w:tab w:val="left" w:leader="none" w:pos="2135"/>
        </w:tabs>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tabs>
          <w:tab w:val="left" w:leader="none" w:pos="2135"/>
        </w:tabs>
        <w:ind w:left="0" w:firstLine="0"/>
        <w:rPr>
          <w:rFonts w:ascii="Arial" w:cs="Arial" w:eastAsia="Arial" w:hAnsi="Arial"/>
          <w:sz w:val="22"/>
          <w:szCs w:val="22"/>
        </w:rPr>
      </w:pPr>
      <w:r w:rsidDel="00000000" w:rsidR="00000000" w:rsidRPr="00000000">
        <w:rPr>
          <w:rtl w:val="0"/>
        </w:rPr>
      </w:r>
    </w:p>
    <w:tbl>
      <w:tblPr>
        <w:tblStyle w:val="Table1"/>
        <w:tblW w:w="996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129"/>
        <w:gridCol w:w="8833"/>
        <w:tblGridChange w:id="0">
          <w:tblGrid>
            <w:gridCol w:w="1129"/>
            <w:gridCol w:w="8833"/>
          </w:tblGrid>
        </w:tblGridChange>
      </w:tblGrid>
      <w:tr>
        <w:trPr>
          <w:cantSplit w:val="0"/>
          <w:tblHeader w:val="0"/>
        </w:trPr>
        <w:tc>
          <w:tcPr/>
          <w:p w:rsidR="00000000" w:rsidDel="00000000" w:rsidP="00000000" w:rsidRDefault="00000000" w:rsidRPr="00000000" w14:paraId="00000007">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PARA:</w:t>
            </w:r>
          </w:p>
        </w:tc>
        <w:tc>
          <w:tcPr/>
          <w:p w:rsidR="00000000" w:rsidDel="00000000" w:rsidP="00000000" w:rsidRDefault="00000000" w:rsidRPr="00000000" w14:paraId="00000008">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Myriam Janeth Sosa Sedano </w:t>
            </w:r>
          </w:p>
        </w:tc>
      </w:tr>
      <w:tr>
        <w:trPr>
          <w:cantSplit w:val="0"/>
          <w:tblHeader w:val="0"/>
        </w:trPr>
        <w:tc>
          <w:tcPr/>
          <w:p w:rsidR="00000000" w:rsidDel="00000000" w:rsidP="00000000" w:rsidRDefault="00000000" w:rsidRPr="00000000" w14:paraId="00000009">
            <w:pPr>
              <w:tabs>
                <w:tab w:val="left" w:leader="none" w:pos="2135"/>
              </w:tabs>
              <w:ind w:left="0"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0A">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Coordinadora del Grupo Interno de Trabajo de Contratación</w:t>
            </w:r>
          </w:p>
        </w:tc>
      </w:tr>
      <w:tr>
        <w:trPr>
          <w:cantSplit w:val="0"/>
          <w:tblHeader w:val="0"/>
        </w:trPr>
        <w:tc>
          <w:tcPr/>
          <w:p w:rsidR="00000000" w:rsidDel="00000000" w:rsidP="00000000" w:rsidRDefault="00000000" w:rsidRPr="00000000" w14:paraId="0000000B">
            <w:pPr>
              <w:tabs>
                <w:tab w:val="left" w:leader="none" w:pos="2135"/>
              </w:tabs>
              <w:ind w:left="0"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0C">
            <w:pPr>
              <w:tabs>
                <w:tab w:val="left" w:leader="none" w:pos="2135"/>
              </w:tabs>
              <w:ind w:left="0" w:firstLine="0"/>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0D">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w:t>
            </w:r>
          </w:p>
        </w:tc>
        <w:tc>
          <w:tcPr/>
          <w:p w:rsidR="00000000" w:rsidDel="00000000" w:rsidP="00000000" w:rsidRDefault="00000000" w:rsidRPr="00000000" w14:paraId="0000000E">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Ana Maria Boada Ayala</w:t>
            </w:r>
          </w:p>
        </w:tc>
      </w:tr>
      <w:tr>
        <w:trPr>
          <w:cantSplit w:val="0"/>
          <w:tblHeader w:val="0"/>
        </w:trPr>
        <w:tc>
          <w:tcPr/>
          <w:p w:rsidR="00000000" w:rsidDel="00000000" w:rsidP="00000000" w:rsidRDefault="00000000" w:rsidRPr="00000000" w14:paraId="0000000F">
            <w:pPr>
              <w:tabs>
                <w:tab w:val="left" w:leader="none" w:pos="2135"/>
              </w:tabs>
              <w:ind w:left="0"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10">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Subsecretaría de Gobernanza</w:t>
            </w:r>
          </w:p>
        </w:tc>
      </w:tr>
      <w:tr>
        <w:trPr>
          <w:cantSplit w:val="0"/>
          <w:tblHeader w:val="0"/>
        </w:trPr>
        <w:tc>
          <w:tcPr/>
          <w:p w:rsidR="00000000" w:rsidDel="00000000" w:rsidP="00000000" w:rsidRDefault="00000000" w:rsidRPr="00000000" w14:paraId="00000011">
            <w:pPr>
              <w:tabs>
                <w:tab w:val="left" w:leader="none" w:pos="2135"/>
              </w:tabs>
              <w:ind w:left="0"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12">
            <w:pPr>
              <w:tabs>
                <w:tab w:val="left" w:leader="none" w:pos="2135"/>
              </w:tabs>
              <w:ind w:left="0" w:firstLine="0"/>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3">
            <w:pPr>
              <w:tabs>
                <w:tab w:val="left" w:leader="none" w:pos="2135"/>
              </w:tabs>
              <w:ind w:left="0"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14">
            <w:pPr>
              <w:tabs>
                <w:tab w:val="left" w:leader="none" w:pos="2135"/>
              </w:tabs>
              <w:ind w:left="0" w:firstLine="0"/>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5">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ASUNTO:</w:t>
            </w:r>
          </w:p>
        </w:tc>
        <w:tc>
          <w:tcPr/>
          <w:p w:rsidR="00000000" w:rsidDel="00000000" w:rsidP="00000000" w:rsidRDefault="00000000" w:rsidRPr="00000000" w14:paraId="00000016">
            <w:pPr>
              <w:tabs>
                <w:tab w:val="left" w:leader="none" w:pos="2135"/>
              </w:tabs>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Solicitud Adición Convenio de Asociación No. 528 de 2025</w:t>
            </w:r>
          </w:p>
        </w:tc>
      </w:tr>
    </w:tbl>
    <w:p w:rsidR="00000000" w:rsidDel="00000000" w:rsidP="00000000" w:rsidRDefault="00000000" w:rsidRPr="00000000" w14:paraId="00000017">
      <w:pPr>
        <w:tabs>
          <w:tab w:val="left" w:leader="none" w:pos="2135"/>
        </w:tabs>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tabs>
          <w:tab w:val="left" w:leader="none" w:pos="2135"/>
        </w:tabs>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tabs>
          <w:tab w:val="left" w:leader="none" w:pos="2135"/>
        </w:tabs>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Apreciada doctora Myriam: </w:t>
      </w:r>
    </w:p>
    <w:p w:rsidR="00000000" w:rsidDel="00000000" w:rsidP="00000000" w:rsidRDefault="00000000" w:rsidRPr="00000000" w14:paraId="0000001A">
      <w:pPr>
        <w:tabs>
          <w:tab w:val="left" w:leader="none" w:pos="2135"/>
        </w:tabs>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tabs>
          <w:tab w:val="left" w:leader="none" w:pos="2135"/>
        </w:tabs>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ind w:left="0" w:firstLine="0"/>
        <w:jc w:val="both"/>
        <w:rPr>
          <w:rFonts w:ascii="Arial" w:cs="Arial" w:eastAsia="Arial" w:hAnsi="Arial"/>
          <w:sz w:val="22"/>
          <w:szCs w:val="22"/>
        </w:rPr>
      </w:pPr>
      <w:r w:rsidDel="00000000" w:rsidR="00000000" w:rsidRPr="00000000">
        <w:rPr>
          <w:rFonts w:ascii="LiberationSans" w:cs="LiberationSans" w:eastAsia="LiberationSans" w:hAnsi="LiberationSans"/>
          <w:sz w:val="22"/>
          <w:szCs w:val="22"/>
          <w:rtl w:val="0"/>
        </w:rPr>
        <w:t xml:space="preserve">En mi condición de ordenadora del gasto dentro del Convenio </w:t>
      </w:r>
      <w:r w:rsidDel="00000000" w:rsidR="00000000" w:rsidRPr="00000000">
        <w:rPr>
          <w:rFonts w:ascii="Arial" w:cs="Arial" w:eastAsia="Arial" w:hAnsi="Arial"/>
          <w:sz w:val="22"/>
          <w:szCs w:val="22"/>
          <w:rtl w:val="0"/>
        </w:rPr>
        <w:t xml:space="preserve">de Asociación No. 528 de 2025</w:t>
      </w:r>
      <w:r w:rsidDel="00000000" w:rsidR="00000000" w:rsidRPr="00000000">
        <w:rPr>
          <w:rFonts w:ascii="LiberationSans" w:cs="LiberationSans" w:eastAsia="LiberationSans" w:hAnsi="LiberationSans"/>
          <w:sz w:val="22"/>
          <w:szCs w:val="22"/>
          <w:rtl w:val="0"/>
        </w:rPr>
        <w:t xml:space="preserve">, me permito solicitar la respectiva modificación contractual (adición de recursos), previas las siguientes consideraciones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D">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04 de abril </w:t>
      </w:r>
      <w:r w:rsidDel="00000000" w:rsidR="00000000" w:rsidRPr="00000000">
        <w:rPr>
          <w:rFonts w:ascii="Arial" w:cs="Arial" w:eastAsia="Arial" w:hAnsi="Arial"/>
          <w:sz w:val="22"/>
          <w:szCs w:val="22"/>
          <w:rtl w:val="0"/>
        </w:rPr>
        <w:t xml:space="preserve">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2025 se suscribió el Convenio de Asociación No. 528 de 2025 con La Fundación Arteria, identificada con Nit. 900.086.964-9 cuyo objeto 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“Aunar esfuerzos entre la SCRD y entidad sin ánimo de lucro para la realización del proyecto Bienal Internacional de Arte y Ciudad BOG 2025 que contempla el diseño, selección y realización de actividades, proyectos, acuerdos e iniciativas artísticas, que vincula actores públicos, privados y de la cooperación internacional”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w:t>
      </w:r>
      <w:r w:rsidDel="00000000" w:rsidR="00000000" w:rsidRPr="00000000">
        <w:rPr>
          <w:rFonts w:ascii="Arial" w:cs="Arial" w:eastAsia="Arial" w:hAnsi="Arial"/>
          <w:sz w:val="22"/>
          <w:szCs w:val="22"/>
          <w:rtl w:val="0"/>
        </w:rPr>
        <w:t xml:space="preserve">nvenio</w:t>
      </w:r>
      <w:r w:rsidDel="00000000" w:rsidR="00000000" w:rsidRPr="00000000">
        <w:rPr>
          <w:rFonts w:ascii="Arial" w:cs="Arial" w:eastAsia="Arial" w:hAnsi="Arial"/>
          <w:sz w:val="22"/>
          <w:szCs w:val="22"/>
          <w:rtl w:val="0"/>
        </w:rPr>
        <w:t xml:space="preserve"> fue objeto de una modificación previa. Esta modificación correspondió al ajuste de la Cláusula Octava – Supervisión o Interventoría del convenio, y la Cláusula Novena – Comité Técnico Operativo para la Ejecución del Convenio, en aspectos relacionados con la designación del supervisor y la integración y funciones del Comité Técnico;</w:t>
      </w:r>
      <w:r w:rsidDel="00000000" w:rsidR="00000000" w:rsidRPr="00000000">
        <w:rPr>
          <w:rFonts w:ascii="Arial" w:cs="Arial" w:eastAsia="Arial" w:hAnsi="Arial"/>
          <w:sz w:val="22"/>
          <w:szCs w:val="22"/>
          <w:rtl w:val="0"/>
        </w:rPr>
        <w:t xml:space="preserve"> y a la fecha tiene un plazo de duración hasta el 30 de noviembre de 2025, co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ntados a partir de la suscripción del acta de inicio el día 09 de abril de 2025, tal como consta en el expediente No. 202576002100100004E.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valor del convenio inicial corresponde a la suma de CUATRO MIL QUINIENTOS CINCUENTA MILLONES DE PESOS M/CTE. ($4.550.000.000), incluidos todos los costos, gastos, tributos, e impuestos nacionales y distritales a que haya lugar, discriminado así: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APORTES DE LA SECRETARÍA: La Secretaría aportará hasta la suma de: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CUATRO MIL MILLONES DE PESOS M/CTE ($4.000.000.000)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Los recursos asignados se encuentran respaldados con cargo al certificado de disponibilidad presupuestal No. 619 de 2025 expedido por el responsable del presupuesto de la Entidad.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suma de </w:t>
      </w:r>
      <w:r w:rsidDel="00000000" w:rsidR="00000000" w:rsidRPr="00000000">
        <w:rPr>
          <w:rFonts w:ascii="Arial" w:cs="Arial" w:eastAsia="Arial" w:hAnsi="Arial"/>
          <w:b w:val="1"/>
          <w:sz w:val="22"/>
          <w:szCs w:val="22"/>
          <w:rtl w:val="0"/>
        </w:rPr>
        <w:t xml:space="preserve">QUINIENTOS CINCUENTA MILLONES DE PESOS M/CTE ($550.000.000)</w:t>
      </w:r>
      <w:r w:rsidDel="00000000" w:rsidR="00000000" w:rsidRPr="00000000">
        <w:rPr>
          <w:rFonts w:ascii="Arial" w:cs="Arial" w:eastAsia="Arial" w:hAnsi="Arial"/>
          <w:sz w:val="22"/>
          <w:szCs w:val="22"/>
          <w:rtl w:val="0"/>
        </w:rPr>
        <w:t xml:space="preserve"> corresponden al aporte en especie que aporta de la entidad sin ánimo de lucro, FUNDACIÓN ARTERIA conforme la propuesta presentada en la plataforma SECOP II.</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requiere una adición de recursos al convenio, </w:t>
      </w:r>
      <w:r w:rsidDel="00000000" w:rsidR="00000000" w:rsidRPr="00000000">
        <w:rPr>
          <w:rFonts w:ascii="Arial" w:cs="Arial" w:eastAsia="Arial" w:hAnsi="Arial"/>
          <w:sz w:val="22"/>
          <w:szCs w:val="22"/>
          <w:rtl w:val="0"/>
        </w:rPr>
        <w:t xml:space="preserve">para desarrollar una nueva serie de actividades dentro de la misionalidad de la Bienal, orientadas a:</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Acoger un proyecto especial que permita recibir y visibilizar la participación de la delegación mexicana, invitada de honor en esta edición, y que suma 5 artistas adicionales a la Bienal.</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Fortalecer las actividades artísticas y la presencia de obras plásticas en las localidades de Santafé, Candelaria y Teusaquillo, escenarios principales de la Bienal.</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Promover la participación de un colectivo de artistas que trabaja con población en situación de habitabilidad en calle.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Así las cosas, se ha planeado realizar la correspondiente modificación consecuente a adición presupuestal, la cual se hace necesaria y pertinente,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dado que la misma permitirá al área continuar fortaleciendo el desarrollo de sus apuestas y metas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lo expuesto, como ordenadora del gasto del convenio en mención, solicito adelantar las actuaciones pertinentes para la adición del convenio por valor de </w:t>
      </w:r>
      <w:r w:rsidDel="00000000" w:rsidR="00000000" w:rsidRPr="00000000">
        <w:rPr>
          <w:rFonts w:ascii="Arial" w:cs="Arial" w:eastAsia="Arial" w:hAnsi="Arial"/>
          <w:sz w:val="22"/>
          <w:szCs w:val="22"/>
          <w:rtl w:val="0"/>
        </w:rPr>
        <w:t xml:space="preserve">DOS MIL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MILLONES DE PESOS M/CTE ($</w:t>
      </w:r>
      <w:r w:rsidDel="00000000" w:rsidR="00000000" w:rsidRPr="00000000">
        <w:rPr>
          <w:rFonts w:ascii="Arial" w:cs="Arial" w:eastAsia="Arial" w:hAnsi="Arial"/>
          <w:sz w:val="22"/>
          <w:szCs w:val="22"/>
          <w:rtl w:val="0"/>
        </w:rPr>
        <w:t xml:space="preserve">2.000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.000.000)</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valor de esta adición proviene de tres fuentes distintas descritas a continuación:</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Aporte de la Secretaría Distrital de Integración Social (SDIS)</w:t>
      </w:r>
      <w:r w:rsidDel="00000000" w:rsidR="00000000" w:rsidRPr="00000000">
        <w:rPr>
          <w:rFonts w:ascii="Arial" w:cs="Arial" w:eastAsia="Arial" w:hAnsi="Arial"/>
          <w:sz w:val="22"/>
          <w:szCs w:val="22"/>
          <w:rtl w:val="0"/>
        </w:rPr>
        <w:t xml:space="preserve">. Este aporte se hará mediante la adhesión de la SDIS al convenio, y asciende a $400.000.000, este proceso implica suscribir un acto de adhesión y adición simultánea, para estos recursos La Bienal Internacional de Arte y Ciudad de Bogotá 2025 ha concebido una serie de intervenciones artísticas en el espacio público con carácter efímero, diseñadas para generar impacto simbólico, artístico y social durante el periodo de su realización.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este marco, se propone la participación del colectivo Amor Real, cuya intervención plantea un dispositivo artístico profundamente transformador, con un enfoque de inclusión y visibilización de poblaciones históricamente marginadas. La intervención liderada por Amor Real involucra directamente a 80 personas en condición de habitabilidad en calle, quienes no solo serán partícipes, sino protagonistas del proceso artístico. A través de encuentros, talleres, acciones performativas y un evento público central el 1º de noviembre —fecha significativa que da apertura al mes de conmemoración y reflexión sobre la </w:t>
      </w:r>
      <w:r w:rsidDel="00000000" w:rsidR="00000000" w:rsidRPr="00000000">
        <w:rPr>
          <w:rFonts w:ascii="Arial" w:cs="Arial" w:eastAsia="Arial" w:hAnsi="Arial"/>
          <w:sz w:val="22"/>
          <w:szCs w:val="22"/>
          <w:rtl w:val="0"/>
        </w:rPr>
        <w:t xml:space="preserve">habitabilidad en calle— se busca generar un espacio de expresión, dignificación y diálogo en el corazón de la ciudad.</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Este tipo de partici</w:t>
      </w:r>
      <w:r w:rsidDel="00000000" w:rsidR="00000000" w:rsidRPr="00000000">
        <w:rPr>
          <w:rFonts w:ascii="Arial" w:cs="Arial" w:eastAsia="Arial" w:hAnsi="Arial"/>
          <w:sz w:val="22"/>
          <w:szCs w:val="22"/>
          <w:rtl w:val="0"/>
        </w:rPr>
        <w:t xml:space="preserve">pación activa posiciona el arte no solamente como objeto, sino como acción transformadora, capaz de propiciar procesos de reconocimiento y construcción de ciudadanía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Arial" w:cs="Arial" w:eastAsia="Arial" w:hAnsi="Arial"/>
          <w:b w:val="1"/>
          <w:sz w:val="22"/>
          <w:szCs w:val="22"/>
          <w:rtl w:val="0"/>
        </w:rPr>
        <w:t xml:space="preserve">Recursos propios de la SCRD, corresponden a $850.000.00</w:t>
      </w:r>
      <w:r w:rsidDel="00000000" w:rsidR="00000000" w:rsidRPr="00000000">
        <w:rPr>
          <w:rFonts w:ascii="Arial" w:cs="Arial" w:eastAsia="Arial" w:hAnsi="Arial"/>
          <w:sz w:val="22"/>
          <w:szCs w:val="22"/>
          <w:rtl w:val="0"/>
        </w:rPr>
        <w:t xml:space="preserve">0 provenientes del presupuesto propio de la Secretaría esta adición se encuentra amparada con los CDP No.</w:t>
      </w:r>
      <w:r w:rsidDel="00000000" w:rsidR="00000000" w:rsidRPr="00000000">
        <w:rPr>
          <w:rtl w:val="0"/>
        </w:rPr>
        <w:t xml:space="preserve"> </w:t>
      </w:r>
      <w:r w:rsidDel="00000000" w:rsidR="00000000" w:rsidRPr="00000000">
        <w:rPr>
          <w:rFonts w:ascii="Arial" w:cs="Arial" w:eastAsia="Arial" w:hAnsi="Arial"/>
          <w:sz w:val="22"/>
          <w:szCs w:val="22"/>
          <w:highlight w:val="yellow"/>
          <w:rtl w:val="0"/>
        </w:rPr>
        <w:t xml:space="preserve">XXXX</w:t>
      </w:r>
      <w:r w:rsidDel="00000000" w:rsidR="00000000" w:rsidRPr="00000000">
        <w:rPr>
          <w:rFonts w:ascii="Arial" w:cs="Arial" w:eastAsia="Arial" w:hAnsi="Arial"/>
          <w:sz w:val="22"/>
          <w:szCs w:val="22"/>
          <w:rtl w:val="0"/>
        </w:rPr>
        <w:t xml:space="preserve"> del </w:t>
      </w:r>
      <w:r w:rsidDel="00000000" w:rsidR="00000000" w:rsidRPr="00000000">
        <w:rPr>
          <w:rFonts w:ascii="Arial" w:cs="Arial" w:eastAsia="Arial" w:hAnsi="Arial"/>
          <w:sz w:val="22"/>
          <w:szCs w:val="22"/>
          <w:highlight w:val="yellow"/>
          <w:rtl w:val="0"/>
        </w:rPr>
        <w:t xml:space="preserve">XX</w:t>
      </w:r>
      <w:r w:rsidDel="00000000" w:rsidR="00000000" w:rsidRPr="00000000">
        <w:rPr>
          <w:rFonts w:ascii="Arial" w:cs="Arial" w:eastAsia="Arial" w:hAnsi="Arial"/>
          <w:sz w:val="22"/>
          <w:szCs w:val="22"/>
          <w:rtl w:val="0"/>
        </w:rPr>
        <w:t xml:space="preserve"> de julio de 2025, por un valor de </w:t>
      </w:r>
      <w:r w:rsidDel="00000000" w:rsidR="00000000" w:rsidRPr="00000000">
        <w:rPr>
          <w:rFonts w:ascii="Arial" w:cs="Arial" w:eastAsia="Arial" w:hAnsi="Arial"/>
          <w:sz w:val="22"/>
          <w:szCs w:val="22"/>
          <w:highlight w:val="yellow"/>
          <w:rtl w:val="0"/>
        </w:rPr>
        <w:t xml:space="preserve">XXXXX,</w:t>
      </w:r>
      <w:r w:rsidDel="00000000" w:rsidR="00000000" w:rsidRPr="00000000">
        <w:rPr>
          <w:rFonts w:ascii="Arial" w:cs="Arial" w:eastAsia="Arial" w:hAnsi="Arial"/>
          <w:sz w:val="22"/>
          <w:szCs w:val="22"/>
          <w:rtl w:val="0"/>
        </w:rPr>
        <w:t xml:space="preserve"> estos recursos se destinarán a actividades adicionales previstas en la adición al convenio.</w:t>
      </w:r>
      <w:r w:rsidDel="00000000" w:rsidR="00000000" w:rsidRPr="00000000">
        <w:rPr>
          <w:rtl w:val="0"/>
        </w:rPr>
      </w:r>
    </w:p>
    <w:p w:rsidR="00000000" w:rsidDel="00000000" w:rsidP="00000000" w:rsidRDefault="00000000" w:rsidRPr="00000000" w14:paraId="00000037">
      <w:pPr>
        <w:spacing w:after="240" w:before="24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adición de $850 millones de pesos tiene por objeto financiar la invitación oficial de la Ciudad de México (CDMX) como Invitada de Honor de la Bienal. Esta acción: Fortalece la internacionalización de Bogotá a través de la cooperación cultural entre capitales latinoamericanas de referencia; amplía el alcance programático y territorial de la Bienal con intervenciones de gran formato en tres hitos urbanos (La Santamaría, Planetario y Parque Bicentenario), incrementando audiencias y visibilidad; profundiza la perspectiva de género y diversidad, convocando a cinco creadoras de alto reconocimiento de la escena de CDMX y sumando un componente literario crítico; se mantiene dentro del objeto del convenio (programación, producción, circulación y mediación de obras e intervenciones artísticas de alto impacto en espacio público y equipamientos culturales).</w:t>
      </w:r>
    </w:p>
    <w:p w:rsidR="00000000" w:rsidDel="00000000" w:rsidP="00000000" w:rsidRDefault="00000000" w:rsidRPr="00000000" w14:paraId="00000038">
      <w:pPr>
        <w:spacing w:after="240" w:before="24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coordinación con la Secretaría de Cultura de la CDMX, se propone un programa binacional centrado en arte público, performance y música, con énfasis en participación ciudadana y mediación. La presencia de CDMX como Invitada de Honor posiciona a Bogotá en una red de circulación latinoamericana y legitima la apuesta por el arte contemporáneo en espacio público como herramienta de cohesión social, derecho a la ciudad y acceso gratuito a la cultura.</w:t>
      </w:r>
    </w:p>
    <w:p w:rsidR="00000000" w:rsidDel="00000000" w:rsidP="00000000" w:rsidRDefault="00000000" w:rsidRPr="00000000" w14:paraId="00000039">
      <w:pPr>
        <w:spacing w:after="240" w:before="240" w:lineRule="auto"/>
        <w:ind w:left="0" w:firstLine="0"/>
        <w:rPr>
          <w:rFonts w:ascii="Arial" w:cs="Arial" w:eastAsia="Arial" w:hAnsi="Arial"/>
          <w:sz w:val="22"/>
          <w:szCs w:val="22"/>
        </w:rPr>
      </w:pPr>
      <w:r w:rsidDel="00000000" w:rsidR="00000000" w:rsidRPr="00000000">
        <w:rPr>
          <w:rtl w:val="0"/>
        </w:rPr>
        <w:t xml:space="preserve">Los escenarios ocupados por estos componentes, a saber: </w:t>
      </w:r>
      <w:r w:rsidDel="00000000" w:rsidR="00000000" w:rsidRPr="00000000">
        <w:rPr>
          <w:rFonts w:ascii="Arial" w:cs="Arial" w:eastAsia="Arial" w:hAnsi="Arial"/>
          <w:sz w:val="22"/>
          <w:szCs w:val="22"/>
          <w:rtl w:val="0"/>
        </w:rPr>
        <w:t xml:space="preserve">Plaza Cultural La Santamaría donde se llevará a cabo una activación de gran formato y se instalará una pieza site-specific.; el Planetario Distrital: programación nocturna y contenidos para públicos </w:t>
      </w:r>
      <w:r w:rsidDel="00000000" w:rsidR="00000000" w:rsidRPr="00000000">
        <w:rPr>
          <w:rFonts w:ascii="Arial" w:cs="Arial" w:eastAsia="Arial" w:hAnsi="Arial"/>
          <w:sz w:val="22"/>
          <w:szCs w:val="22"/>
          <w:rtl w:val="0"/>
        </w:rPr>
        <w:t xml:space="preserve">diversos.</w:t>
      </w:r>
    </w:p>
    <w:p w:rsidR="00000000" w:rsidDel="00000000" w:rsidP="00000000" w:rsidRDefault="00000000" w:rsidRPr="00000000" w14:paraId="0000003A">
      <w:pPr>
        <w:spacing w:after="240" w:before="24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Las artistas previstas para esta intervención son:</w:t>
      </w:r>
      <w:r w:rsidDel="00000000" w:rsidR="00000000" w:rsidRPr="00000000">
        <w:rPr>
          <w:rtl w:val="0"/>
        </w:rPr>
      </w:r>
    </w:p>
    <w:p w:rsidR="00000000" w:rsidDel="00000000" w:rsidP="00000000" w:rsidRDefault="00000000" w:rsidRPr="00000000" w14:paraId="0000003B">
      <w:pPr>
        <w:numPr>
          <w:ilvl w:val="0"/>
          <w:numId w:val="3"/>
        </w:numPr>
        <w:spacing w:after="0" w:afterAutospacing="0" w:before="24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Fusca (Pilar Cárdenas) – Muralista mexicana (Culiacán, 1977), autodidacta con trayectoria en arte urbano y muralismo contemporáneo, cuya obra cruza influencias del muralismo mexicano y el grafiti.</w:t>
      </w:r>
      <w:r w:rsidDel="00000000" w:rsidR="00000000" w:rsidRPr="00000000">
        <w:rPr>
          <w:rtl w:val="0"/>
        </w:rPr>
      </w:r>
    </w:p>
    <w:p w:rsidR="00000000" w:rsidDel="00000000" w:rsidP="00000000" w:rsidRDefault="00000000" w:rsidRPr="00000000" w14:paraId="0000003C">
      <w:pPr>
        <w:numPr>
          <w:ilvl w:val="0"/>
          <w:numId w:val="3"/>
        </w:numPr>
        <w:spacing w:after="0" w:afterAutospacing="0" w:before="0" w:beforeAutospacing="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Mónica Mayer – Artista feminista de la Ciudad de México (1954), pionera del performance y la práctica social, reconocida con la Medalla Bellas Artes (2021) y el CAA Distinguished Feminist Award (2025).</w:t>
      </w:r>
      <w:r w:rsidDel="00000000" w:rsidR="00000000" w:rsidRPr="00000000">
        <w:rPr>
          <w:rtl w:val="0"/>
        </w:rPr>
      </w:r>
    </w:p>
    <w:p w:rsidR="00000000" w:rsidDel="00000000" w:rsidP="00000000" w:rsidRDefault="00000000" w:rsidRPr="00000000" w14:paraId="0000003D">
      <w:pPr>
        <w:numPr>
          <w:ilvl w:val="0"/>
          <w:numId w:val="3"/>
        </w:numPr>
        <w:spacing w:after="0" w:afterAutospacing="0" w:before="0" w:beforeAutospacing="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Ali Gua Gua – Música y productora cultural mexicana, integrante histórica de Las Ultrasónicas y Kumbia Queers, con trayectoria internacional en la escena alternativa latinoamericana.</w:t>
      </w:r>
      <w:hyperlink r:id="rId7">
        <w:r w:rsidDel="00000000" w:rsidR="00000000" w:rsidRPr="00000000">
          <w:rPr>
            <w:rFonts w:ascii="Arial" w:cs="Arial" w:eastAsia="Arial" w:hAnsi="Arial"/>
            <w:sz w:val="22"/>
            <w:szCs w:val="22"/>
            <w:rtl w:val="0"/>
          </w:rPr>
          <w:t xml:space="preserve"> </w:t>
        </w:r>
      </w:hyperlink>
      <w:r w:rsidDel="00000000" w:rsidR="00000000" w:rsidRPr="00000000">
        <w:rPr>
          <w:rtl w:val="0"/>
        </w:rPr>
      </w:r>
    </w:p>
    <w:p w:rsidR="00000000" w:rsidDel="00000000" w:rsidP="00000000" w:rsidRDefault="00000000" w:rsidRPr="00000000" w14:paraId="0000003E">
      <w:pPr>
        <w:numPr>
          <w:ilvl w:val="0"/>
          <w:numId w:val="3"/>
        </w:numPr>
        <w:spacing w:after="0" w:afterAutospacing="0" w:before="0" w:beforeAutospacing="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Yunuen Díaz – Escritora, poeta y artista nacida en CDMX (1982), especializada en género y crítica de arte, ganadora del Premio Bellas Artes de Crónica Literaria Carlos Montemayor (2019) y del Premio Nacional de Ensayo Joven (2015).</w:t>
      </w:r>
      <w:r w:rsidDel="00000000" w:rsidR="00000000" w:rsidRPr="00000000">
        <w:rPr>
          <w:rtl w:val="0"/>
        </w:rPr>
      </w:r>
    </w:p>
    <w:p w:rsidR="00000000" w:rsidDel="00000000" w:rsidP="00000000" w:rsidRDefault="00000000" w:rsidRPr="00000000" w14:paraId="0000003F">
      <w:pPr>
        <w:numPr>
          <w:ilvl w:val="0"/>
          <w:numId w:val="3"/>
        </w:numPr>
        <w:spacing w:after="0" w:afterAutospacing="0" w:before="0" w:beforeAutospacing="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Amaranta Almaraz – Diseñadora industrial y de vestuario y artista visual de CDMX, directora de Producciones NUUCH, con proyectos de arte monumental y diseño escénico en iniciativas públicas como “Nopalera en el Corazón” y el Desfile de Día de Muertos. </w:t>
      </w:r>
    </w:p>
    <w:p w:rsidR="00000000" w:rsidDel="00000000" w:rsidP="00000000" w:rsidRDefault="00000000" w:rsidRPr="00000000" w14:paraId="00000040">
      <w:pPr>
        <w:numPr>
          <w:ilvl w:val="0"/>
          <w:numId w:val="3"/>
        </w:numPr>
        <w:spacing w:after="240" w:before="0" w:beforeAutospacing="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Juan Gabriel Vásquez – Novelista colombiano cuya obra más reciente, </w:t>
      </w:r>
      <w:r w:rsidDel="00000000" w:rsidR="00000000" w:rsidRPr="00000000">
        <w:rPr>
          <w:rFonts w:ascii="Arial" w:cs="Arial" w:eastAsia="Arial" w:hAnsi="Arial"/>
          <w:i w:val="1"/>
          <w:sz w:val="22"/>
          <w:szCs w:val="22"/>
          <w:rtl w:val="0"/>
        </w:rPr>
        <w:t xml:space="preserve">Los nombres de Feliza</w:t>
      </w:r>
      <w:r w:rsidDel="00000000" w:rsidR="00000000" w:rsidRPr="00000000">
        <w:rPr>
          <w:rFonts w:ascii="Arial" w:cs="Arial" w:eastAsia="Arial" w:hAnsi="Arial"/>
          <w:sz w:val="22"/>
          <w:szCs w:val="22"/>
          <w:rtl w:val="0"/>
        </w:rPr>
        <w:t xml:space="preserve"> (2025), reinterpreta la vida de la escultora Feliza Bursztyn, aportando un cruce entre literatura y artes visuales para la programación de la Bienal.</w:t>
      </w:r>
      <w:hyperlink r:id="rId8">
        <w:r w:rsidDel="00000000" w:rsidR="00000000" w:rsidRPr="00000000">
          <w:rPr>
            <w:rFonts w:ascii="Arial" w:cs="Arial" w:eastAsia="Arial" w:hAnsi="Arial"/>
            <w:color w:val="1155cc"/>
            <w:sz w:val="22"/>
            <w:szCs w:val="22"/>
            <w:u w:val="single"/>
            <w:rtl w:val="0"/>
          </w:rPr>
          <w:br w:type="textWrapping"/>
        </w:r>
      </w:hyperlink>
      <w:r w:rsidDel="00000000" w:rsidR="00000000" w:rsidRPr="00000000">
        <w:rPr>
          <w:rtl w:val="0"/>
        </w:rPr>
      </w:r>
    </w:p>
    <w:p w:rsidR="00000000" w:rsidDel="00000000" w:rsidP="00000000" w:rsidRDefault="00000000" w:rsidRPr="00000000" w14:paraId="00000041">
      <w:pPr>
        <w:spacing w:after="240" w:before="24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actividad se implementa bajo la estructura existente del convenio, respetando los principios de planeación, economía y transparencia. La concertación con CDMX permite cofinanciación en especie y coordinación logística, reduciendo riesgos y asegurando estándares de producción. Se incorporan planes de riesgo (clima, aforo, movilidad, integridad de obra) y protocolos de salvaguarda de públicos y espacios.</w:t>
      </w:r>
    </w:p>
    <w:p w:rsidR="00000000" w:rsidDel="00000000" w:rsidP="00000000" w:rsidRDefault="00000000" w:rsidRPr="00000000" w14:paraId="00000042">
      <w:pPr>
        <w:spacing w:after="240" w:before="24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Ciudad Invitada de Honor consolida lazos Bogotá–CDMX, deja capas de valor urbano (memoria, apropiación, cuidado del espacio público) y capacidades instaladas (saberes técnicos y curatoriales compartidos), además de una memoria audiovisual útil para futuras ediciones y para la proyección internacional de la ciudad.</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Aportes de Fondos de Desarrollo Local, suman $750.000.000,</w:t>
      </w:r>
      <w:r w:rsidDel="00000000" w:rsidR="00000000" w:rsidRPr="00000000">
        <w:rPr>
          <w:rFonts w:ascii="Arial" w:cs="Arial" w:eastAsia="Arial" w:hAnsi="Arial"/>
          <w:sz w:val="22"/>
          <w:szCs w:val="22"/>
          <w:rtl w:val="0"/>
        </w:rPr>
        <w:t xml:space="preserve"> y provienen de recursos recibidos mediante convenios ya suscritos por la SCRD con los Fondos de Desarrollo Local de la siguiente forma:</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Localidad Candelaria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Convenio Interadministrativo No. 226 de 2025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Localidad Santa Fe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Convenio Interadministrativo numeración FDLSF No. 353 de 2025 y numeración No. 731 de 2025</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Localidad Teusaquillo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Convenio Interadministrativo numeración FDLSF No. 341 de 2025 y numeración No. 733 de 2025</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estas localidades, la Bienal desplegará una intervención estratégica que conectará diversos espacios emblemáticos mediante exposiciones de arte contemporáneo, fomentando recorridos urbanos y encuentros con la creación actual.</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 presencia busca potenciar la apropiación cultural del territorio por parte de sus habitantes y visitantes, activar el ecosistema artístico local y fortalecer el vínculo entre arte, ciudad y ciudadanía en uno de los sectores más dinámicos de Bogotá.</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Contenido artístico:</w:t>
      </w:r>
      <w:r w:rsidDel="00000000" w:rsidR="00000000" w:rsidRPr="00000000">
        <w:rPr>
          <w:rFonts w:ascii="Arial" w:cs="Arial" w:eastAsia="Arial" w:hAnsi="Arial"/>
          <w:sz w:val="22"/>
          <w:szCs w:val="22"/>
          <w:rtl w:val="0"/>
        </w:rPr>
        <w:t xml:space="preserve"> El contenido artístico de la Bienal será garantizado a través de licencias de uso otorgadas por los artistas seleccionados como parte de la curaduría oficial. Estas licencias permitirán la exhibición de las obras durante el tiempo estipulado del evento, asegurando su permanencia en condiciones acordes con las mejores prácticas internacionales en la gestión de bienales. Este modelo se ajusta a estándares profesionales ampliamente adoptados por eventos de arte contemporáneo de escala global, en donde se reconoce la propiedad intelectual del artista y se formaliza su participación mediante acuerdos contractuales que establecen derechos de uso, reproducción y condiciones de montaje.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Producción técnica:</w:t>
      </w:r>
      <w:r w:rsidDel="00000000" w:rsidR="00000000" w:rsidRPr="00000000">
        <w:rPr>
          <w:rFonts w:ascii="Arial" w:cs="Arial" w:eastAsia="Arial" w:hAnsi="Arial"/>
          <w:sz w:val="22"/>
          <w:szCs w:val="22"/>
          <w:rtl w:val="0"/>
        </w:rPr>
        <w:t xml:space="preserve"> La producción de las obras artísticas contempla la participación de un ecosistema técnico y creativo diverso, que abarca desde saberes artísticos y curatoriales hasta capacidades logísticas, arquitectónicas y museográficas especializadas. Cada intervención requiere de equipos de producción calificados, responsables de la fabricación de piezas, el análisis y adecuación de espacios públicos y privados, así como de la implementación de estrategias de instalación que respondan a los requerimientos técnicos, espaciales y simbólicos de cada obra. Este enfoque multidisciplinario permite no solo materializar las propuestas artísticas, sino también garantizar condiciones de accesibilidad, seguridad y pertinencia para los públicos.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Impacto Esperado:</w:t>
      </w:r>
      <w:r w:rsidDel="00000000" w:rsidR="00000000" w:rsidRPr="00000000">
        <w:rPr>
          <w:rFonts w:ascii="Arial" w:cs="Arial" w:eastAsia="Arial" w:hAnsi="Arial"/>
          <w:sz w:val="22"/>
          <w:szCs w:val="22"/>
          <w:rtl w:val="0"/>
        </w:rPr>
        <w:t xml:space="preserve"> El impacto proyectado de la Bienal contempla una alta afluencia de visitantes, en consonancia con eventos culturales de gran escala que se realizan en Bogotá, como la Feria Internacional del Libro (FILBo) o Rock al Parque. Para esta primera edición, se espera alcanzar una asistencia aproximada de 150.000 personas, distribuidas a lo largo de las distintas sedes y actividades del evento. Esta cifra da cuenta del potencial de convocatoria de la Bienal, y refuerza su objetivo de posicionar a Bogotá como una ciudad de referencia para las artes contemporáneas en América Latina.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Estas localidades se convertirán en un vibrante escenario artístico durante la Bienal Internacional de Arte y Ciudad de Bogotá 2025, al albergar la mayoría de las intervenciones artísticas a lo largo del emblemático eje de la Avenida Jiménez, pero además en los emblemáticos complejos culturales de las mismas que transformarán el espacio público en un lienzo colectivo donde artistas se encargarán de la creación de obras de arte contemporáneo que reflejen la identidad, historia y valores del territorio, promoviendo así una reflexión profunda sobre la ciudad y los “ensayos sobre la felicidad”.</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 adición de $2.000.000.000 se destinará a actividades nuevas que no estaban contempladas en el convenio de asociación inicial.</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 adición de recursos traerá los siguientes compromisos adicionales para el asociado: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Desarrollar el proyecto denominado “BIENAL INTERNACIONAL DE ARTE Y CIUDAD BOG 2025”, como una iniciativa que vincula a actores públicos y privados y de la cooperación internacional</w:t>
      </w:r>
      <w:r w:rsidDel="00000000" w:rsidR="00000000" w:rsidRPr="00000000">
        <w:rPr>
          <w:rFonts w:ascii="Arial" w:cs="Arial" w:eastAsia="Arial" w:hAnsi="Arial"/>
          <w:sz w:val="22"/>
          <w:szCs w:val="22"/>
          <w:rtl w:val="0"/>
        </w:rPr>
        <w:t xml:space="preserve">, con presencia en las localidades de Candelaria, Teusaquillo y SantaFe.</w:t>
      </w:r>
    </w:p>
    <w:p w:rsidR="00000000" w:rsidDel="00000000" w:rsidP="00000000" w:rsidRDefault="00000000" w:rsidRPr="00000000" w14:paraId="000000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Garantizar la participación de la ciudad invitada México en la Bienal BOG25 mediante un proyecto especial que permita recibir y visibilizar la participación de la delegación mexicana, invitada de honor en esta edición, y que suma 5 artistas adicionales a la Bienal</w:t>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Promover la participación de un colectivo de artistas que trabaja con población en situación de habitabilidad en calle.</w:t>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Adelantar los negocios jurídicos que sean necesarios para desarrollar el proyecto “BIENAL INTERNACIONAL DE ARTE Y CIUDAD BOG 2025”.</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todo lo anterior, se hace necesario adelantar la modificación de la siguiente cláusula del convenio así:</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CLÁUSULA PRIME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RA – VALOR DEL CONVENIO: El valor total del convenio que se celebra será por la suma de </w:t>
      </w:r>
      <w:r w:rsidDel="00000000" w:rsidR="00000000" w:rsidRPr="00000000">
        <w:rPr>
          <w:rFonts w:ascii="Arial" w:cs="Arial" w:eastAsia="Arial" w:hAnsi="Arial"/>
          <w:b w:val="1"/>
          <w:sz w:val="22"/>
          <w:szCs w:val="22"/>
          <w:rtl w:val="0"/>
        </w:rPr>
        <w:t xml:space="preserve">SEIS</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MIL </w:t>
      </w:r>
      <w:r w:rsidDel="00000000" w:rsidR="00000000" w:rsidRPr="00000000">
        <w:rPr>
          <w:rFonts w:ascii="Arial" w:cs="Arial" w:eastAsia="Arial" w:hAnsi="Arial"/>
          <w:b w:val="1"/>
          <w:sz w:val="22"/>
          <w:szCs w:val="22"/>
          <w:rtl w:val="0"/>
        </w:rPr>
        <w:t xml:space="preserve">OCHOCIENTOS VEINTICINCO </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MILLONES DE PESOS M/CTE. ($</w:t>
      </w:r>
      <w:r w:rsidDel="00000000" w:rsidR="00000000" w:rsidRPr="00000000">
        <w:rPr>
          <w:rFonts w:ascii="Arial" w:cs="Arial" w:eastAsia="Arial" w:hAnsi="Arial"/>
          <w:b w:val="1"/>
          <w:sz w:val="22"/>
          <w:szCs w:val="22"/>
          <w:rtl w:val="0"/>
        </w:rPr>
        <w:t xml:space="preserve">6.825</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.000.000)</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este valor incluye todos los gastos, costos directos e indirectos en que deba incurrir el Asociado para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cumplimiento del objeto del convenio y el pago de los impuestos y descuentos de ley a que haya lugar, incluido lo que corresponde a la comisión fiduciaria, distribuidos de la siguiente manera:</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APORTES DE LA SECRETARÍA: La Secretaría aportará hasta la suma de: </w:t>
      </w:r>
      <w:r w:rsidDel="00000000" w:rsidR="00000000" w:rsidRPr="00000000">
        <w:rPr>
          <w:rFonts w:ascii="Arial" w:cs="Arial" w:eastAsia="Arial" w:hAnsi="Arial"/>
          <w:sz w:val="22"/>
          <w:szCs w:val="22"/>
          <w:rtl w:val="0"/>
        </w:rPr>
        <w:t xml:space="preserve">SEIS MIL</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MILLONES DE PESOS M/CTE ($</w:t>
      </w:r>
      <w:r w:rsidDel="00000000" w:rsidR="00000000" w:rsidRPr="00000000">
        <w:rPr>
          <w:rFonts w:ascii="Arial" w:cs="Arial" w:eastAsia="Arial" w:hAnsi="Arial"/>
          <w:sz w:val="22"/>
          <w:szCs w:val="22"/>
          <w:rtl w:val="0"/>
        </w:rPr>
        <w:t xml:space="preserve">6.000</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.000.000)</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Los recursos asignados se encuentran respaldados con cargo al certificado de disponibilidad presupuestal</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No. </w:t>
      </w:r>
      <w:r w:rsidDel="00000000" w:rsidR="00000000" w:rsidRPr="00000000">
        <w:rPr>
          <w:rFonts w:ascii="Arial" w:cs="Arial" w:eastAsia="Arial" w:hAnsi="Arial"/>
          <w:sz w:val="22"/>
          <w:szCs w:val="22"/>
          <w:highlight w:val="yellow"/>
          <w:rtl w:val="0"/>
        </w:rPr>
        <w:t xml:space="preserve">XXXXX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de 2025</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exp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edido por el responsable del presupuesto de la Entidad.</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La suma de </w:t>
      </w:r>
      <w:r w:rsidDel="00000000" w:rsidR="00000000" w:rsidRPr="00000000">
        <w:rPr>
          <w:rFonts w:ascii="Arial" w:cs="Arial" w:eastAsia="Arial" w:hAnsi="Arial"/>
          <w:sz w:val="22"/>
          <w:szCs w:val="22"/>
          <w:rtl w:val="0"/>
        </w:rPr>
        <w:t xml:space="preserve">OCHOCIENTOS VEINTICINCO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MILLONES DE PESOS M/CTE ($</w:t>
      </w:r>
      <w:r w:rsidDel="00000000" w:rsidR="00000000" w:rsidRPr="00000000">
        <w:rPr>
          <w:rFonts w:ascii="Arial" w:cs="Arial" w:eastAsia="Arial" w:hAnsi="Arial"/>
          <w:sz w:val="22"/>
          <w:szCs w:val="22"/>
          <w:rtl w:val="0"/>
        </w:rPr>
        <w:t xml:space="preserve">825</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.000.000) corresponden al aporte en especie que aporta de la entidad sin ánimo de lucro, </w:t>
      </w:r>
      <w:r w:rsidDel="00000000" w:rsidR="00000000" w:rsidRPr="00000000">
        <w:rPr>
          <w:rFonts w:ascii="Arial" w:cs="Arial" w:eastAsia="Arial" w:hAnsi="Arial"/>
          <w:sz w:val="22"/>
          <w:szCs w:val="22"/>
          <w:rtl w:val="0"/>
        </w:rPr>
        <w:t xml:space="preserve">FUNDACIÓN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ARTERIA conforme la propuesta presentada en la plataforma SECOP II.</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Secretaria Distrital de Cultura, recreación y Deporte (SDCRD), </w:t>
      </w:r>
      <w:r w:rsidDel="00000000" w:rsidR="00000000" w:rsidRPr="00000000">
        <w:rPr>
          <w:rFonts w:ascii="Arial" w:cs="Arial" w:eastAsia="Arial" w:hAnsi="Arial"/>
          <w:sz w:val="22"/>
          <w:szCs w:val="22"/>
          <w:rtl w:val="0"/>
        </w:rPr>
        <w:t xml:space="preserve">desembolsará</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 Asociado el valor del aporte de esta adición al convenio de acuerdo a su disponibilidad presupuestal en un único desembolso, previa suscripción y aprobación de la adición, aprobación del plan de trabajo de las nuevas actividades por parte del comité técnico y operativo.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 un saludo cordial,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Atentamente,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MARÍA BOADA AYALA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Subsecretaria de Gobernanza Secretaría Distrital de Cultura, Recreación y Deporte.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SECRETARÍA DISTRITAL DE CULTURA RECREACIÓN Y DEPORTE.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Revisó: Adriana González – Contratista SCRD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Revisó: María Victoria Pérez - Contratista SCRD</w:t>
      </w:r>
    </w:p>
    <w:p w:rsidR="00000000" w:rsidDel="00000000" w:rsidP="00000000" w:rsidRDefault="00000000" w:rsidRPr="00000000" w14:paraId="0000007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tabs>
          <w:tab w:val="left" w:leader="none" w:pos="2135"/>
        </w:tabs>
        <w:rPr>
          <w:rFonts w:ascii="Arial" w:cs="Arial" w:eastAsia="Arial" w:hAnsi="Arial"/>
          <w:sz w:val="22"/>
          <w:szCs w:val="22"/>
        </w:rPr>
      </w:pPr>
      <w:r w:rsidDel="00000000" w:rsidR="00000000" w:rsidRPr="00000000">
        <w:rPr>
          <w:rtl w:val="0"/>
        </w:rPr>
      </w:r>
    </w:p>
    <w:sectPr>
      <w:headerReference r:id="rId9" w:type="default"/>
      <w:footerReference r:id="rId10" w:type="default"/>
      <w:pgSz w:h="15840" w:w="12240" w:orient="portrait"/>
      <w:pgMar w:bottom="851" w:top="964" w:left="1134" w:right="1134" w:header="56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Code3of9"/>
  <w:font w:name="Noto Sans Symbols">
    <w:embedRegular w:fontKey="{00000000-0000-0000-0000-000000000000}" r:id="rId1" w:subsetted="0"/>
    <w:embedBold w:fontKey="{00000000-0000-0000-0000-000000000000}" r:id="rId2" w:subsetted="0"/>
  </w:font>
  <w:font w:name="Liberation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419"/>
        <w:tab w:val="right" w:leader="none" w:pos="8838"/>
      </w:tabs>
      <w:jc w:val="right"/>
      <w:rPr>
        <w:rFonts w:ascii="Arial" w:cs="Arial" w:eastAsia="Arial" w:hAnsi="Arial"/>
        <w:b w:val="1"/>
        <w:color w:val="ffffff"/>
        <w:sz w:val="10"/>
        <w:szCs w:val="10"/>
      </w:rPr>
    </w:pPr>
    <w:r w:rsidDel="00000000" w:rsidR="00000000" w:rsidRPr="00000000">
      <w:rPr>
        <w:rFonts w:ascii="Arial" w:cs="Arial" w:eastAsia="Arial" w:hAnsi="Arial"/>
        <w:color w:val="000000"/>
        <w:sz w:val="10"/>
        <w:szCs w:val="10"/>
        <w:rtl w:val="0"/>
      </w:rPr>
      <w:t xml:space="preserve"> </w:t>
    </w:r>
    <w:r w:rsidDel="00000000" w:rsidR="00000000" w:rsidRPr="00000000">
      <w:rPr>
        <w:rtl w:val="0"/>
      </w:rPr>
    </w:r>
  </w:p>
  <w:tbl>
    <w:tblPr>
      <w:tblStyle w:val="Table3"/>
      <w:tblW w:w="99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971"/>
      <w:gridCol w:w="1843"/>
      <w:gridCol w:w="2836"/>
      <w:gridCol w:w="1322"/>
      <w:tblGridChange w:id="0">
        <w:tblGrid>
          <w:gridCol w:w="3971"/>
          <w:gridCol w:w="1843"/>
          <w:gridCol w:w="2836"/>
          <w:gridCol w:w="1322"/>
        </w:tblGrid>
      </w:tblGridChange>
    </w:tblGrid>
    <w:tr>
      <w:trPr>
        <w:cantSplit w:val="0"/>
        <w:tblHeader w:val="0"/>
      </w:trPr>
      <w:tc>
        <w:tcPr/>
        <w:p w:rsidR="00000000" w:rsidDel="00000000" w:rsidP="00000000" w:rsidRDefault="00000000" w:rsidRPr="00000000" w14:paraId="00000088">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Carrera 8ª No. 9 - 83 Centro</w:t>
          </w:r>
        </w:p>
        <w:p w:rsidR="00000000" w:rsidDel="00000000" w:rsidP="00000000" w:rsidRDefault="00000000" w:rsidRPr="00000000" w14:paraId="00000089">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Tel. 3274850</w:t>
          </w:r>
        </w:p>
        <w:p w:rsidR="00000000" w:rsidDel="00000000" w:rsidP="00000000" w:rsidRDefault="00000000" w:rsidRPr="00000000" w14:paraId="0000008A">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Código Postal: 111711</w:t>
          </w:r>
        </w:p>
        <w:p w:rsidR="00000000" w:rsidDel="00000000" w:rsidP="00000000" w:rsidRDefault="00000000" w:rsidRPr="00000000" w14:paraId="0000008B">
          <w:pPr>
            <w:tabs>
              <w:tab w:val="center" w:leader="none" w:pos="4419"/>
              <w:tab w:val="right" w:leader="none" w:pos="8838"/>
            </w:tabs>
            <w:rPr>
              <w:color w:val="0000ff"/>
              <w:sz w:val="18"/>
              <w:szCs w:val="18"/>
              <w:u w:val="single"/>
            </w:rPr>
          </w:pPr>
          <w:hyperlink r:id="rId1">
            <w:r w:rsidDel="00000000" w:rsidR="00000000" w:rsidRPr="00000000">
              <w:rPr>
                <w:color w:val="0000ff"/>
                <w:sz w:val="18"/>
                <w:szCs w:val="18"/>
                <w:u w:val="single"/>
                <w:rtl w:val="0"/>
              </w:rPr>
              <w:t xml:space="preserve">www.culturarecreacionydeporte.gov.co</w:t>
            </w:r>
          </w:hyperlink>
          <w:r w:rsidDel="00000000" w:rsidR="00000000" w:rsidRPr="00000000">
            <w:rPr>
              <w:rtl w:val="0"/>
            </w:rPr>
          </w:r>
        </w:p>
        <w:p w:rsidR="00000000" w:rsidDel="00000000" w:rsidP="00000000" w:rsidRDefault="00000000" w:rsidRPr="00000000" w14:paraId="0000008C">
          <w:pPr>
            <w:tabs>
              <w:tab w:val="center" w:leader="none" w:pos="4419"/>
              <w:tab w:val="right" w:leader="none" w:pos="8838"/>
            </w:tabs>
            <w:rPr>
              <w:color w:val="000000"/>
            </w:rPr>
          </w:pPr>
          <w:r w:rsidDel="00000000" w:rsidR="00000000" w:rsidRPr="00000000">
            <w:rPr>
              <w:color w:val="000000"/>
              <w:sz w:val="18"/>
              <w:szCs w:val="18"/>
              <w:rtl w:val="0"/>
            </w:rPr>
            <w:t xml:space="preserve">Información: Línea 195</w:t>
          </w:r>
          <w:r w:rsidDel="00000000" w:rsidR="00000000" w:rsidRPr="00000000">
            <w:rPr>
              <w:rtl w:val="0"/>
            </w:rPr>
          </w:r>
        </w:p>
      </w:tc>
      <w:tc>
        <w:tcPr/>
        <w:p w:rsidR="00000000" w:rsidDel="00000000" w:rsidP="00000000" w:rsidRDefault="00000000" w:rsidRPr="00000000" w14:paraId="0000008D">
          <w:pPr>
            <w:rPr>
              <w:sz w:val="18"/>
              <w:szCs w:val="18"/>
            </w:rPr>
          </w:pPr>
          <w:r w:rsidDel="00000000" w:rsidR="00000000" w:rsidRPr="00000000">
            <w:rPr>
              <w:rtl w:val="0"/>
            </w:rPr>
          </w:r>
        </w:p>
        <w:p w:rsidR="00000000" w:rsidDel="00000000" w:rsidP="00000000" w:rsidRDefault="00000000" w:rsidRPr="00000000" w14:paraId="0000008E">
          <w:pPr>
            <w:rPr>
              <w:sz w:val="18"/>
              <w:szCs w:val="18"/>
            </w:rPr>
          </w:pPr>
          <w:r w:rsidDel="00000000" w:rsidR="00000000" w:rsidRPr="00000000">
            <w:rPr>
              <w:color w:val="595959"/>
              <w:sz w:val="12"/>
              <w:szCs w:val="12"/>
              <w:rtl w:val="0"/>
            </w:rPr>
            <w:t xml:space="preserve">     </w:t>
          </w:r>
          <w:r w:rsidDel="00000000" w:rsidR="00000000" w:rsidRPr="00000000">
            <w:rPr>
              <w:rtl w:val="0"/>
            </w:rPr>
          </w:r>
        </w:p>
      </w:tc>
      <w:tc>
        <w:tcPr/>
        <w:p w:rsidR="00000000" w:rsidDel="00000000" w:rsidP="00000000" w:rsidRDefault="00000000" w:rsidRPr="00000000" w14:paraId="0000008F">
          <w:pPr>
            <w:jc w:val="center"/>
            <w:rPr>
              <w:rFonts w:ascii="Arial" w:cs="Arial" w:eastAsia="Arial" w:hAnsi="Arial"/>
              <w:b w:val="1"/>
              <w:color w:val="000000"/>
              <w:sz w:val="14"/>
              <w:szCs w:val="14"/>
            </w:rPr>
          </w:pPr>
          <w:r w:rsidDel="00000000" w:rsidR="00000000" w:rsidRPr="00000000">
            <w:rPr>
              <w:rFonts w:ascii="Arial" w:cs="Arial" w:eastAsia="Arial" w:hAnsi="Arial"/>
              <w:color w:val="000000"/>
              <w:sz w:val="14"/>
              <w:szCs w:val="14"/>
              <w:rtl w:val="0"/>
            </w:rPr>
            <w:t xml:space="preserve">Página </w:t>
          </w:r>
          <w:r w:rsidDel="00000000" w:rsidR="00000000" w:rsidRPr="00000000">
            <w:rPr>
              <w:rFonts w:ascii="Arial" w:cs="Arial" w:eastAsia="Arial" w:hAnsi="Arial"/>
              <w:b w:val="1"/>
              <w:color w:val="000000"/>
              <w:sz w:val="14"/>
              <w:szCs w:val="14"/>
            </w:rPr>
            <w:fldChar w:fldCharType="begin"/>
            <w:instrText xml:space="preserve">PAGE</w:instrText>
            <w:fldChar w:fldCharType="separate"/>
            <w:fldChar w:fldCharType="end"/>
          </w:r>
          <w:r w:rsidDel="00000000" w:rsidR="00000000" w:rsidRPr="00000000">
            <w:rPr>
              <w:rFonts w:ascii="Arial" w:cs="Arial" w:eastAsia="Arial" w:hAnsi="Arial"/>
              <w:color w:val="000000"/>
              <w:sz w:val="14"/>
              <w:szCs w:val="14"/>
              <w:rtl w:val="0"/>
            </w:rPr>
            <w:t xml:space="preserve"> de </w:t>
          </w:r>
          <w:r w:rsidDel="00000000" w:rsidR="00000000" w:rsidRPr="00000000">
            <w:rPr>
              <w:rFonts w:ascii="Arial" w:cs="Arial" w:eastAsia="Arial" w:hAnsi="Arial"/>
              <w:b w:val="1"/>
              <w:color w:val="00000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0">
          <w:pPr>
            <w:jc w:val="center"/>
            <w:rPr>
              <w:sz w:val="14"/>
              <w:szCs w:val="14"/>
            </w:rPr>
          </w:pPr>
          <w:r w:rsidDel="00000000" w:rsidR="00000000" w:rsidRPr="00000000">
            <w:rPr>
              <w:rFonts w:ascii="Arial" w:cs="Arial" w:eastAsia="Arial" w:hAnsi="Arial"/>
              <w:sz w:val="14"/>
              <w:szCs w:val="14"/>
              <w:rtl w:val="0"/>
            </w:rPr>
            <w:t xml:space="preserve">GMC-MN-01-FR-07. v.1. 23/03/2023</w:t>
          </w:r>
          <w:r w:rsidDel="00000000" w:rsidR="00000000" w:rsidRPr="00000000">
            <w:rPr>
              <w:rtl w:val="0"/>
            </w:rPr>
          </w:r>
        </w:p>
      </w:tc>
      <w:tc>
        <w:tcPr/>
        <w:p w:rsidR="00000000" w:rsidDel="00000000" w:rsidP="00000000" w:rsidRDefault="00000000" w:rsidRPr="00000000" w14:paraId="00000091">
          <w:pPr>
            <w:tabs>
              <w:tab w:val="center" w:leader="none" w:pos="4419"/>
              <w:tab w:val="right" w:leader="none" w:pos="8838"/>
            </w:tabs>
            <w:jc w:val="center"/>
            <w:rPr>
              <w:color w:val="000000"/>
            </w:rPr>
          </w:pPr>
          <w:r w:rsidDel="00000000" w:rsidR="00000000" w:rsidRPr="00000000">
            <w:rPr>
              <w:color w:val="000000"/>
            </w:rPr>
            <w:drawing>
              <wp:inline distB="0" distT="0" distL="0" distR="0">
                <wp:extent cx="489755" cy="584985"/>
                <wp:effectExtent b="0" l="0" r="0" t="0"/>
                <wp:docPr id="7"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489755" cy="584985"/>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tabs>
              <w:tab w:val="center" w:leader="none" w:pos="4419"/>
              <w:tab w:val="right" w:leader="none" w:pos="8838"/>
            </w:tabs>
            <w:jc w:val="center"/>
            <w:rPr>
              <w:color w:val="000000"/>
              <w:sz w:val="12"/>
              <w:szCs w:val="12"/>
            </w:rPr>
          </w:pPr>
          <w:r w:rsidDel="00000000" w:rsidR="00000000" w:rsidRPr="00000000">
            <w:rPr>
              <w:color w:val="000000"/>
              <w:sz w:val="12"/>
              <w:szCs w:val="12"/>
              <w:rtl w:val="0"/>
            </w:rPr>
            <w:t xml:space="preserve">ALCALDÍA MAYOR</w:t>
          </w:r>
        </w:p>
        <w:p w:rsidR="00000000" w:rsidDel="00000000" w:rsidP="00000000" w:rsidRDefault="00000000" w:rsidRPr="00000000" w14:paraId="00000093">
          <w:pPr>
            <w:tabs>
              <w:tab w:val="center" w:leader="none" w:pos="4419"/>
              <w:tab w:val="right" w:leader="none" w:pos="8838"/>
            </w:tabs>
            <w:jc w:val="center"/>
            <w:rPr>
              <w:color w:val="000000"/>
            </w:rPr>
          </w:pPr>
          <w:r w:rsidDel="00000000" w:rsidR="00000000" w:rsidRPr="00000000">
            <w:rPr>
              <w:color w:val="000000"/>
              <w:sz w:val="12"/>
              <w:szCs w:val="12"/>
              <w:rtl w:val="0"/>
            </w:rPr>
            <w:t xml:space="preserve">DE BOGOTÁ D.C.</w:t>
          </w:r>
          <w:r w:rsidDel="00000000" w:rsidR="00000000" w:rsidRPr="00000000">
            <w:rPr>
              <w:rtl w:val="0"/>
            </w:rPr>
          </w:r>
        </w:p>
      </w:tc>
    </w:tr>
  </w:tb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2"/>
      <w:tblW w:w="9972.0" w:type="dxa"/>
      <w:jc w:val="left"/>
      <w:tblLayout w:type="fixed"/>
      <w:tblLook w:val="0400"/>
    </w:tblPr>
    <w:tblGrid>
      <w:gridCol w:w="1917"/>
      <w:gridCol w:w="4964"/>
      <w:gridCol w:w="3091"/>
      <w:tblGridChange w:id="0">
        <w:tblGrid>
          <w:gridCol w:w="1917"/>
          <w:gridCol w:w="4964"/>
          <w:gridCol w:w="3091"/>
        </w:tblGrid>
      </w:tblGridChange>
    </w:tblGrid>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drawing>
              <wp:inline distB="0" distT="0" distL="0" distR="0">
                <wp:extent cx="2677431" cy="615501"/>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677431" cy="615501"/>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82">
          <w:pPr>
            <w:tabs>
              <w:tab w:val="left" w:leader="none" w:pos="1485"/>
            </w:tabs>
            <w:jc w:val="right"/>
            <w:rPr>
              <w:rFonts w:ascii="Code3of9" w:cs="Code3of9" w:eastAsia="Code3of9" w:hAnsi="Code3of9"/>
              <w:sz w:val="28"/>
              <w:szCs w:val="28"/>
            </w:rPr>
          </w:pPr>
          <w:r w:rsidDel="00000000" w:rsidR="00000000" w:rsidRPr="00000000">
            <w:rPr>
              <w:rFonts w:ascii="Code3of9" w:cs="Code3of9" w:eastAsia="Code3of9" w:hAnsi="Code3of9"/>
              <w:sz w:val="28"/>
              <w:szCs w:val="28"/>
              <w:rtl w:val="0"/>
            </w:rPr>
            <w:t xml:space="preserve">*RAD_S*</w:t>
          </w:r>
        </w:p>
        <w:p w:rsidR="00000000" w:rsidDel="00000000" w:rsidP="00000000" w:rsidRDefault="00000000" w:rsidRPr="00000000" w14:paraId="00000083">
          <w:pPr>
            <w:tabs>
              <w:tab w:val="left" w:leader="none" w:pos="1485"/>
            </w:tabs>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Al contestar, citar el número:</w:t>
          </w:r>
        </w:p>
        <w:p w:rsidR="00000000" w:rsidDel="00000000" w:rsidP="00000000" w:rsidRDefault="00000000" w:rsidRPr="00000000" w14:paraId="00000084">
          <w:pPr>
            <w:tabs>
              <w:tab w:val="left" w:leader="none" w:pos="1485"/>
            </w:tabs>
            <w:jc w:val="right"/>
            <w:rPr>
              <w:rFonts w:ascii="Arial" w:cs="Arial" w:eastAsia="Arial" w:hAnsi="Arial"/>
              <w:b w:val="1"/>
            </w:rPr>
          </w:pPr>
          <w:r w:rsidDel="00000000" w:rsidR="00000000" w:rsidRPr="00000000">
            <w:rPr>
              <w:rFonts w:ascii="Arial" w:cs="Arial" w:eastAsia="Arial" w:hAnsi="Arial"/>
              <w:sz w:val="16"/>
              <w:szCs w:val="16"/>
              <w:rtl w:val="0"/>
            </w:rPr>
            <w:t xml:space="preserve">Radicado: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RAD_S</w:t>
          </w:r>
        </w:p>
        <w:p w:rsidR="00000000" w:rsidDel="00000000" w:rsidP="00000000" w:rsidRDefault="00000000" w:rsidRPr="00000000" w14:paraId="00000085">
          <w:pPr>
            <w:tabs>
              <w:tab w:val="left" w:leader="none" w:pos="1485"/>
            </w:tabs>
            <w:jc w:val="right"/>
            <w:rPr>
              <w:rFonts w:ascii="Arial" w:cs="Arial" w:eastAsia="Arial" w:hAnsi="Arial"/>
            </w:rPr>
          </w:pPr>
          <w:r w:rsidDel="00000000" w:rsidR="00000000" w:rsidRPr="00000000">
            <w:rPr>
              <w:rFonts w:ascii="Arial" w:cs="Arial" w:eastAsia="Arial" w:hAnsi="Arial"/>
              <w:sz w:val="16"/>
              <w:szCs w:val="16"/>
              <w:rtl w:val="0"/>
            </w:rPr>
            <w:t xml:space="preserve">Fecha:</w:t>
          </w:r>
          <w:r w:rsidDel="00000000" w:rsidR="00000000" w:rsidRPr="00000000">
            <w:rPr>
              <w:rFonts w:ascii="Arial" w:cs="Arial" w:eastAsia="Arial" w:hAnsi="Arial"/>
              <w:rtl w:val="0"/>
            </w:rPr>
            <w:t xml:space="preserve"> F_RAD_S</w:t>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419"/>
        <w:tab w:val="right" w:leader="none" w:pos="8838"/>
      </w:tabs>
      <w:jc w:val="center"/>
      <w:rPr>
        <w:rFonts w:ascii="Arial" w:cs="Arial" w:eastAsia="Arial" w:hAnsi="Arial"/>
        <w:color w:val="000000"/>
        <w:sz w:val="8"/>
        <w:szCs w:val="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1"/>
    <w:tblPr>
      <w:tblStyleRowBandSize w:val="1"/>
      <w:tblStyleColBandSize w:val="1"/>
      <w:tblCellMar>
        <w:left w:w="108.0" w:type="dxa"/>
        <w:right w:w="108.0" w:type="dxa"/>
      </w:tblCellMar>
    </w:tblPr>
  </w:style>
  <w:style w:type="paragraph" w:styleId="Encabezado">
    <w:name w:val="header"/>
    <w:basedOn w:val="Normal"/>
    <w:link w:val="EncabezadoCar"/>
    <w:uiPriority w:val="99"/>
    <w:unhideWhenUsed w:val="1"/>
    <w:rsid w:val="00834D5B"/>
    <w:pPr>
      <w:tabs>
        <w:tab w:val="center" w:pos="4419"/>
        <w:tab w:val="right" w:pos="8838"/>
      </w:tabs>
    </w:pPr>
  </w:style>
  <w:style w:type="character" w:styleId="EncabezadoCar" w:customStyle="1">
    <w:name w:val="Encabezado Car"/>
    <w:basedOn w:val="Fuentedeprrafopredeter"/>
    <w:link w:val="Encabezado"/>
    <w:uiPriority w:val="99"/>
    <w:rsid w:val="00834D5B"/>
  </w:style>
  <w:style w:type="paragraph" w:styleId="Piedepgina">
    <w:name w:val="footer"/>
    <w:basedOn w:val="Normal"/>
    <w:link w:val="PiedepginaCar"/>
    <w:uiPriority w:val="99"/>
    <w:unhideWhenUsed w:val="1"/>
    <w:rsid w:val="00834D5B"/>
    <w:pPr>
      <w:tabs>
        <w:tab w:val="center" w:pos="4419"/>
        <w:tab w:val="right" w:pos="8838"/>
      </w:tabs>
    </w:pPr>
  </w:style>
  <w:style w:type="character" w:styleId="PiedepginaCar" w:customStyle="1">
    <w:name w:val="Pie de página Car"/>
    <w:basedOn w:val="Fuentedeprrafopredeter"/>
    <w:link w:val="Piedepgina"/>
    <w:uiPriority w:val="99"/>
    <w:rsid w:val="00834D5B"/>
  </w:style>
  <w:style w:type="table" w:styleId="Tablaconcuadrcula">
    <w:name w:val="Table Grid"/>
    <w:basedOn w:val="Tablanormal"/>
    <w:uiPriority w:val="39"/>
    <w:rsid w:val="0085196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85196F"/>
    <w:rPr>
      <w:color w:val="0000ff" w:themeColor="hyperlink"/>
      <w:u w:val="single"/>
    </w:rPr>
  </w:style>
  <w:style w:type="character" w:styleId="Hipervnculovisitado">
    <w:name w:val="FollowedHyperlink"/>
    <w:basedOn w:val="Fuentedeprrafopredeter"/>
    <w:uiPriority w:val="99"/>
    <w:semiHidden w:val="1"/>
    <w:unhideWhenUsed w:val="1"/>
    <w:rsid w:val="0085196F"/>
    <w:rPr>
      <w:color w:val="800080" w:themeColor="followedHyperlink"/>
      <w:u w:val="single"/>
    </w:rPr>
  </w:style>
  <w:style w:type="paragraph" w:styleId="Textbody" w:customStyle="1">
    <w:name w:val="Text body"/>
    <w:basedOn w:val="Normal"/>
    <w:rsid w:val="00156382"/>
    <w:pPr>
      <w:widowControl w:val="0"/>
      <w:suppressAutoHyphens w:val="1"/>
      <w:autoSpaceDN w:val="0"/>
      <w:spacing w:after="120"/>
      <w:textAlignment w:val="baseline"/>
    </w:pPr>
    <w:rPr>
      <w:rFonts w:ascii="Times New Roman" w:cs="Arial Unicode MS" w:eastAsia="Arial Unicode MS" w:hAnsi="Times New Roman"/>
      <w:kern w:val="3"/>
      <w:lang w:bidi="hi-IN" w:eastAsia="zh-CN"/>
    </w:rPr>
  </w:style>
  <w:style w:type="paragraph" w:styleId="Prrafodelista">
    <w:name w:val="List Paragraph"/>
    <w:basedOn w:val="Normal"/>
    <w:uiPriority w:val="34"/>
    <w:qFormat w:val="1"/>
    <w:rsid w:val="00137B5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s.wikipedia.org/wiki/Ali_Gua_Gua?utm_source=chatgpt.com" TargetMode="External"/><Relationship Id="rId8" Type="http://schemas.openxmlformats.org/officeDocument/2006/relationships/hyperlink" Target="https://elpais.com/babelia/2025-01-11/juan-gabriel-vasquez-encuentra-a-la-madame-bovary-del-siglo-xx-quise-saber-por-que-murio-de-tristeza.html?utm_source=chatgp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culturarecreacionydeporte.gov.co/" TargetMode="External"/><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uTJylQdh7IZoSN3hjC0gav6rtQ==">CgMxLjA4AHIhMXRyLWR2RHNyVkpGX1h2clJONnczcVNXckQzUWxEdE5J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2025-07-08T22:11:00Z</dcterms:created>
  <dc:creator>Proceso de Mejora Contínua</dc:creator>
</cp:coreProperties>
</file>